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AA93F" w14:textId="4FB6D75A" w:rsidR="000C45C1" w:rsidRPr="000C45C1" w:rsidRDefault="000C45C1" w:rsidP="000C45C1">
      <w:pPr>
        <w:pStyle w:val="a3"/>
        <w:numPr>
          <w:ilvl w:val="0"/>
          <w:numId w:val="1"/>
        </w:numPr>
        <w:rPr>
          <w:rFonts w:ascii="Helvetica Neue" w:hAnsi="Helvetica Neue" w:cs="Helvetica Neue"/>
          <w:color w:val="000000"/>
          <w:sz w:val="22"/>
          <w:szCs w:val="22"/>
        </w:rPr>
      </w:pPr>
      <w:r w:rsidRPr="000C45C1">
        <w:rPr>
          <w:rFonts w:ascii="Helvetica Neue" w:hAnsi="Helvetica Neue" w:cs="Helvetica Neue"/>
          <w:color w:val="000000"/>
          <w:sz w:val="22"/>
          <w:szCs w:val="22"/>
        </w:rPr>
        <w:t>Инструкция по медицинскому применению препарата ЭМЛА®, крем для местного и наружного применения. Регистрационное удостоверение лекарственного средства П N014033/01​</w:t>
      </w:r>
    </w:p>
    <w:p w14:paraId="5D45CD1F" w14:textId="2EE83F41" w:rsidR="000C45C1" w:rsidRDefault="000C45C1" w:rsidP="000C45C1">
      <w:pPr>
        <w:pStyle w:val="a3"/>
        <w:numPr>
          <w:ilvl w:val="0"/>
          <w:numId w:val="1"/>
        </w:numPr>
        <w:rPr>
          <w:rFonts w:ascii="Helvetica Neue" w:hAnsi="Helvetica Neue" w:cs="Helvetica Neue"/>
          <w:color w:val="000000"/>
          <w:sz w:val="22"/>
          <w:szCs w:val="22"/>
        </w:rPr>
      </w:pPr>
      <w:r w:rsidRPr="000C45C1">
        <w:rPr>
          <w:rFonts w:ascii="Helvetica Neue" w:hAnsi="Helvetica Neue" w:cs="Helvetica Neue"/>
          <w:color w:val="000000"/>
          <w:sz w:val="22"/>
          <w:szCs w:val="22"/>
        </w:rPr>
        <w:t xml:space="preserve">Государственный реестр лекарственных средств: </w:t>
      </w:r>
      <w:hyperlink r:id="rId5" w:history="1">
        <w:r w:rsidRPr="000C45C1">
          <w:rPr>
            <w:rStyle w:val="a4"/>
            <w:rFonts w:ascii="Helvetica Neue" w:hAnsi="Helvetica Neue" w:cs="Helvetica Neue"/>
            <w:sz w:val="22"/>
            <w:szCs w:val="22"/>
          </w:rPr>
          <w:t>www.grls.rosminzdrav.ru</w:t>
        </w:r>
      </w:hyperlink>
    </w:p>
    <w:p w14:paraId="1ECF7F8D" w14:textId="45C68DA7" w:rsidR="000C45C1" w:rsidRPr="000C45C1" w:rsidRDefault="000C45C1" w:rsidP="000C45C1">
      <w:pPr>
        <w:pStyle w:val="a3"/>
        <w:numPr>
          <w:ilvl w:val="0"/>
          <w:numId w:val="1"/>
        </w:numPr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0C45C1">
        <w:rPr>
          <w:rFonts w:ascii="Helvetica Neue" w:hAnsi="Helvetica Neue" w:cs="Helvetica Neue"/>
          <w:color w:val="000000"/>
          <w:sz w:val="22"/>
          <w:szCs w:val="22"/>
          <w:lang w:val="en-US"/>
        </w:rPr>
        <w:t>Clinical Overview: Clinical Documentation for Reclassification of EMLA® Cream 5% and EMLA® Patch from Medical Prescription Products to Non-prescription Products, 14 December 2011).​</w:t>
      </w:r>
    </w:p>
    <w:p w14:paraId="6D35287D" w14:textId="3AF9BA2D" w:rsidR="000C45C1" w:rsidRDefault="000C45C1" w:rsidP="000C45C1">
      <w:pPr>
        <w:pStyle w:val="a3"/>
        <w:numPr>
          <w:ilvl w:val="0"/>
          <w:numId w:val="1"/>
        </w:numPr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Лешкевич А.И., Сидоров В.А., Торшин В.А. ЭМЛА — </w:t>
      </w:r>
      <w:r w:rsidR="00591571">
        <w:rPr>
          <w:rFonts w:ascii="Helvetica Neue" w:hAnsi="Helvetica Neue" w:cs="Helvetica Neue"/>
          <w:color w:val="000000"/>
          <w:sz w:val="22"/>
          <w:szCs w:val="22"/>
        </w:rPr>
        <w:t>К</w:t>
      </w:r>
      <w:r>
        <w:rPr>
          <w:rFonts w:ascii="Helvetica Neue" w:hAnsi="Helvetica Neue" w:cs="Helvetica Neue"/>
          <w:color w:val="000000"/>
          <w:sz w:val="22"/>
          <w:szCs w:val="22"/>
        </w:rPr>
        <w:t>рем: новые концепции в анестезии кожных покровов</w:t>
      </w:r>
      <w:r w:rsidR="00591571">
        <w:rPr>
          <w:rFonts w:ascii="Helvetica Neue" w:hAnsi="Helvetica Neue" w:cs="Helvetica Neue"/>
          <w:color w:val="000000"/>
          <w:sz w:val="22"/>
          <w:szCs w:val="22"/>
        </w:rPr>
        <w:t xml:space="preserve"> / </w:t>
      </w:r>
      <w:r>
        <w:rPr>
          <w:rFonts w:ascii="Helvetica Neue" w:hAnsi="Helvetica Neue" w:cs="Helvetica Neue"/>
          <w:color w:val="000000"/>
          <w:sz w:val="22"/>
          <w:szCs w:val="22"/>
        </w:rPr>
        <w:t>2011</w:t>
      </w:r>
    </w:p>
    <w:p w14:paraId="51668569" w14:textId="46868E3B" w:rsidR="000C45C1" w:rsidRDefault="000C45C1" w:rsidP="000C45C1">
      <w:pPr>
        <w:pStyle w:val="a3"/>
        <w:numPr>
          <w:ilvl w:val="0"/>
          <w:numId w:val="1"/>
        </w:numPr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Раннева Е.А. Применение крема ЭМЛА® 5% в практике дерматокосметолога. Экспериментальная и клиническая дерматокосметология</w:t>
      </w:r>
      <w:r w:rsidR="00591571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№2</w:t>
      </w:r>
      <w:r w:rsidR="00591571">
        <w:rPr>
          <w:rFonts w:ascii="Helvetica Neue" w:hAnsi="Helvetica Neue" w:cs="Helvetica Neue"/>
          <w:color w:val="000000"/>
          <w:sz w:val="22"/>
          <w:szCs w:val="22"/>
        </w:rPr>
        <w:t xml:space="preserve"> / 2009</w:t>
      </w:r>
    </w:p>
    <w:p w14:paraId="738BFA61" w14:textId="5B5C5EDC" w:rsidR="000C45C1" w:rsidRPr="000C45C1" w:rsidRDefault="000C45C1" w:rsidP="000C45C1">
      <w:pPr>
        <w:pStyle w:val="a3"/>
        <w:numPr>
          <w:ilvl w:val="0"/>
          <w:numId w:val="1"/>
        </w:numPr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Тарловская Е.И., Генерики</w:t>
      </w:r>
      <w:r w:rsidR="00591571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>в реальной клинической практике</w:t>
      </w:r>
      <w:r w:rsidR="00591571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Артериальная гипертензия, Том 15, № 4 / 2009</w:t>
      </w:r>
    </w:p>
    <w:p w14:paraId="09744529" w14:textId="1A9B4DFF" w:rsidR="000C45C1" w:rsidRDefault="000C45C1" w:rsidP="000C45C1">
      <w:pPr>
        <w:pStyle w:val="a3"/>
        <w:numPr>
          <w:ilvl w:val="0"/>
          <w:numId w:val="1"/>
        </w:numPr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Зырянов С.К., Белоусов Ю.В., Проблема качества генериков</w:t>
      </w:r>
      <w:r w:rsidR="00591571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>и оценка их соответствия оригинальным препаратам</w:t>
      </w:r>
      <w:r w:rsidR="00591571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Клиническая микорбиология</w:t>
      </w:r>
      <w:r w:rsidR="00591571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>и антимикробная химиотерапия</w:t>
      </w:r>
      <w:r w:rsidR="00591571">
        <w:rPr>
          <w:rFonts w:ascii="Helvetica Neue" w:hAnsi="Helvetica Neue" w:cs="Helvetica Neue"/>
          <w:color w:val="000000"/>
          <w:sz w:val="22"/>
          <w:szCs w:val="22"/>
        </w:rPr>
        <w:t xml:space="preserve">. </w:t>
      </w:r>
      <w:r>
        <w:rPr>
          <w:rFonts w:ascii="Helvetica Neue" w:hAnsi="Helvetica Neue" w:cs="Helvetica Neue"/>
          <w:color w:val="000000"/>
          <w:sz w:val="22"/>
          <w:szCs w:val="22"/>
        </w:rPr>
        <w:t>Том 12, №4</w:t>
      </w:r>
      <w:r w:rsidR="00591571">
        <w:rPr>
          <w:rFonts w:ascii="Helvetica Neue" w:hAnsi="Helvetica Neue" w:cs="Helvetica Neue"/>
          <w:color w:val="000000"/>
          <w:sz w:val="22"/>
          <w:szCs w:val="22"/>
        </w:rPr>
        <w:t xml:space="preserve"> / 2010</w:t>
      </w:r>
    </w:p>
    <w:p w14:paraId="0FB47B6D" w14:textId="6C4E60E0" w:rsidR="000C45C1" w:rsidRDefault="000C45C1" w:rsidP="000C45C1">
      <w:pPr>
        <w:pStyle w:val="a3"/>
        <w:numPr>
          <w:ilvl w:val="0"/>
          <w:numId w:val="1"/>
        </w:numPr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Лебедюк В.Г. с соавт. Анестезия в дерматокосметологии. Экспериментальная и клиническая дерматокосметология, 2010, №5.</w:t>
      </w:r>
    </w:p>
    <w:p w14:paraId="3B2D4252" w14:textId="31562444" w:rsidR="000C45C1" w:rsidRPr="00591571" w:rsidRDefault="000C45C1" w:rsidP="000C45C1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D57DD3">
        <w:rPr>
          <w:rFonts w:ascii="Helvetica Neue" w:hAnsi="Helvetica Neue" w:cs="Helvetica Neue"/>
          <w:color w:val="000000"/>
          <w:sz w:val="22"/>
          <w:szCs w:val="22"/>
        </w:rPr>
        <w:t xml:space="preserve">   </w:t>
      </w:r>
      <w:r w:rsidRPr="000C45C1">
        <w:rPr>
          <w:rFonts w:ascii="Helvetica Neue" w:hAnsi="Helvetica Neue" w:cs="Helvetica Neue"/>
          <w:color w:val="000000"/>
          <w:sz w:val="22"/>
          <w:szCs w:val="22"/>
          <w:lang w:val="en-US"/>
        </w:rPr>
        <w:t>Sonnenburg A, Schreiner M, StahlmannR</w:t>
      </w:r>
      <w:r w:rsidR="00591571" w:rsidRPr="00591571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. </w:t>
      </w:r>
      <w:r w:rsidRPr="000C45C1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Assessment of the sensitizing potency of preservatives with chance of skin contact by the loose-fit coculture-based sensitization assay (LCSA). </w:t>
      </w:r>
      <w:r w:rsidRPr="00591571">
        <w:rPr>
          <w:rFonts w:ascii="Helvetica Neue" w:hAnsi="Helvetica Neue" w:cs="Helvetica Neue"/>
          <w:color w:val="000000"/>
          <w:sz w:val="22"/>
          <w:szCs w:val="22"/>
          <w:lang w:val="en-US"/>
        </w:rPr>
        <w:t>Arch Toxicol89(12):2339-44.2015</w:t>
      </w:r>
    </w:p>
    <w:p w14:paraId="15A09144" w14:textId="0A8F6195" w:rsidR="000C45C1" w:rsidRPr="00591571" w:rsidRDefault="000C45C1" w:rsidP="000C45C1">
      <w:pPr>
        <w:pStyle w:val="a3"/>
        <w:numPr>
          <w:ilvl w:val="0"/>
          <w:numId w:val="1"/>
        </w:numPr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0C45C1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Blair RM, Fang H. The estrogen receptor relative binding affinities of 188 natural and xenochemicals: structural diversity of ligands. </w:t>
      </w:r>
      <w:r w:rsidRPr="00591571">
        <w:rPr>
          <w:rFonts w:ascii="Helvetica Neue" w:hAnsi="Helvetica Neue" w:cs="Helvetica Neue"/>
          <w:color w:val="000000"/>
          <w:sz w:val="22"/>
          <w:szCs w:val="22"/>
          <w:lang w:val="en-US"/>
        </w:rPr>
        <w:t>ToxicolSci. 54(1):138-53.2000</w:t>
      </w:r>
    </w:p>
    <w:p w14:paraId="3CF026DB" w14:textId="62518756" w:rsidR="000C45C1" w:rsidRPr="000C45C1" w:rsidRDefault="000C45C1" w:rsidP="000C45C1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V</w:t>
      </w:r>
      <w:r w:rsidRPr="000C45C1">
        <w:rPr>
          <w:rFonts w:ascii="Helvetica Neue" w:hAnsi="Helvetica Neue" w:cs="Helvetica Neue"/>
          <w:color w:val="000000"/>
          <w:sz w:val="22"/>
          <w:szCs w:val="22"/>
          <w:lang w:val="en-US"/>
        </w:rPr>
        <w:t>o TT, YooYM, Choi KC</w:t>
      </w:r>
      <w:r w:rsidR="00591571" w:rsidRPr="00591571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. </w:t>
      </w:r>
      <w:r w:rsidRPr="000C45C1">
        <w:rPr>
          <w:rFonts w:ascii="Helvetica Neue" w:hAnsi="Helvetica Neue" w:cs="Helvetica Neue"/>
          <w:color w:val="000000"/>
          <w:sz w:val="22"/>
          <w:szCs w:val="22"/>
          <w:lang w:val="en-US"/>
        </w:rPr>
        <w:t>Potential estrogenic effect(s) of parabens at the prepubertal stage of a postnatal female rat model. ReprodToxicol29(3):306-316.2010</w:t>
      </w:r>
    </w:p>
    <w:p w14:paraId="3C97C9B8" w14:textId="6CC1E633" w:rsidR="000C45C1" w:rsidRDefault="000C45C1" w:rsidP="000C45C1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0C45C1">
        <w:rPr>
          <w:rFonts w:ascii="Helvetica Neue" w:hAnsi="Helvetica Neue" w:cs="Helvetica Neue"/>
          <w:color w:val="000000"/>
          <w:sz w:val="22"/>
          <w:szCs w:val="22"/>
          <w:lang w:val="en-US"/>
        </w:rPr>
        <w:t>Niels Njors, Mette Harring. Epilation of upper lip hirsutism with a eutectic mixture of lidocaine and prilocaine</w:t>
      </w:r>
      <w:r w:rsidR="00591571" w:rsidRPr="00591571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</w:p>
    <w:p w14:paraId="18C95E96" w14:textId="1C563A0C" w:rsidR="000C45C1" w:rsidRPr="000C45C1" w:rsidRDefault="000C45C1" w:rsidP="000C45C1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0C45C1">
        <w:rPr>
          <w:rFonts w:ascii="Helvetica Neue" w:hAnsi="Helvetica Neue" w:cs="Helvetica Neue"/>
          <w:color w:val="000000"/>
          <w:sz w:val="22"/>
          <w:szCs w:val="22"/>
        </w:rPr>
        <w:t>Жигульцова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Pr="000C45C1">
        <w:rPr>
          <w:rFonts w:ascii="Helvetica Neue" w:hAnsi="Helvetica Neue" w:cs="Helvetica Neue"/>
          <w:color w:val="000000"/>
          <w:sz w:val="22"/>
          <w:szCs w:val="22"/>
        </w:rPr>
        <w:t>Т.И., Паркаева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Pr="000C45C1">
        <w:rPr>
          <w:rFonts w:ascii="Helvetica Neue" w:hAnsi="Helvetica Neue" w:cs="Helvetica Neue"/>
          <w:color w:val="000000"/>
          <w:sz w:val="22"/>
          <w:szCs w:val="22"/>
        </w:rPr>
        <w:t>Л.В. Опыт применения 5% крема ЭМЛА® в практике дерматокосметологов. Косметология и пластическая хирургия</w:t>
      </w:r>
      <w:r w:rsidR="00591571">
        <w:rPr>
          <w:rFonts w:ascii="Helvetica Neue" w:hAnsi="Helvetica Neue" w:cs="Helvetica Neue"/>
          <w:color w:val="000000"/>
          <w:sz w:val="22"/>
          <w:szCs w:val="22"/>
        </w:rPr>
        <w:t xml:space="preserve">. </w:t>
      </w:r>
      <w:r w:rsidRPr="000C45C1">
        <w:rPr>
          <w:rFonts w:ascii="Helvetica Neue" w:hAnsi="Helvetica Neue" w:cs="Helvetica Neue"/>
          <w:color w:val="000000"/>
          <w:sz w:val="22"/>
          <w:szCs w:val="22"/>
        </w:rPr>
        <w:t>№9</w:t>
      </w:r>
      <w:r w:rsidR="00591571">
        <w:rPr>
          <w:rFonts w:ascii="Helvetica Neue" w:hAnsi="Helvetica Neue" w:cs="Helvetica Neue"/>
          <w:color w:val="000000"/>
          <w:sz w:val="22"/>
          <w:szCs w:val="22"/>
        </w:rPr>
        <w:t xml:space="preserve"> / </w:t>
      </w:r>
      <w:r w:rsidR="00591571" w:rsidRPr="000C45C1">
        <w:rPr>
          <w:rFonts w:ascii="Helvetica Neue" w:hAnsi="Helvetica Neue" w:cs="Helvetica Neue"/>
          <w:color w:val="000000"/>
          <w:sz w:val="22"/>
          <w:szCs w:val="22"/>
        </w:rPr>
        <w:t>2008</w:t>
      </w:r>
    </w:p>
    <w:p w14:paraId="745140B8" w14:textId="32FDACF6" w:rsidR="00216329" w:rsidRDefault="000C45C1" w:rsidP="00216329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0C45C1">
        <w:rPr>
          <w:rFonts w:ascii="Helvetica Neue" w:hAnsi="Helvetica Neue" w:cs="Helvetica Neue"/>
          <w:color w:val="000000"/>
          <w:sz w:val="22"/>
          <w:szCs w:val="22"/>
          <w:lang w:val="en-US"/>
        </w:rPr>
        <w:t>Robert A. Koppel et al. The Efficacy of EMLA® versus ELA-Max for Pain Relief in Medium-Depth Chemical Peeling: A Clinical and Histopathologic Evaluation, Dermatol Surg 2000; 26: 61–64.​</w:t>
      </w:r>
    </w:p>
    <w:p w14:paraId="6122BA55" w14:textId="372C8BDE" w:rsidR="00216329" w:rsidRDefault="00216329" w:rsidP="00216329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216329">
        <w:rPr>
          <w:rFonts w:ascii="Helvetica Neue" w:hAnsi="Helvetica Neue" w:cs="Helvetica Neue"/>
          <w:color w:val="000000"/>
          <w:sz w:val="22"/>
          <w:szCs w:val="22"/>
        </w:rPr>
        <w:t>Степанов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Pr="00216329">
        <w:rPr>
          <w:rFonts w:ascii="Helvetica Neue" w:hAnsi="Helvetica Neue" w:cs="Helvetica Neue"/>
          <w:color w:val="000000"/>
          <w:sz w:val="22"/>
          <w:szCs w:val="22"/>
        </w:rPr>
        <w:t>А.А., Яцык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Pr="00216329">
        <w:rPr>
          <w:rFonts w:ascii="Helvetica Neue" w:hAnsi="Helvetica Neue" w:cs="Helvetica Neue"/>
          <w:color w:val="000000"/>
          <w:sz w:val="22"/>
          <w:szCs w:val="22"/>
        </w:rPr>
        <w:t>Г.В., Намазова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Pr="00216329">
        <w:rPr>
          <w:rFonts w:ascii="Helvetica Neue" w:hAnsi="Helvetica Neue" w:cs="Helvetica Neue"/>
          <w:color w:val="000000"/>
          <w:sz w:val="22"/>
          <w:szCs w:val="22"/>
        </w:rPr>
        <w:t>Л.С. Метод профилактики боли у детей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Pr="00216329">
        <w:rPr>
          <w:rFonts w:ascii="Helvetica Neue" w:hAnsi="Helvetica Neue" w:cs="Helvetica Neue"/>
          <w:color w:val="000000"/>
          <w:sz w:val="22"/>
          <w:szCs w:val="22"/>
        </w:rPr>
        <w:t>раннего возраста при вакцинации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42FE9B3D" w14:textId="1F497BFF" w:rsidR="00216329" w:rsidRDefault="00216329" w:rsidP="00216329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Приложение №1 к приказу Министерства Здравоохранения РФ от 21 марта 2014</w:t>
      </w:r>
      <w:r w:rsidR="00591571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>г</w:t>
      </w:r>
      <w:r w:rsidR="00591571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№125н. Национальный календарь профилактических прививок с изменениями и дополнениями от 13 апреля 2017г</w:t>
      </w:r>
      <w:r w:rsidR="00591571"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4547D6B5" w14:textId="4579941D" w:rsidR="00D57DD3" w:rsidRPr="00D57DD3" w:rsidRDefault="00D57DD3" w:rsidP="00D57DD3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D57DD3">
        <w:rPr>
          <w:rFonts w:ascii="Helvetica Neue" w:hAnsi="Helvetica Neue" w:cs="Helvetica Neue"/>
          <w:color w:val="000000"/>
          <w:sz w:val="22"/>
          <w:szCs w:val="22"/>
        </w:rPr>
        <w:t>Э</w:t>
      </w:r>
      <w:r>
        <w:rPr>
          <w:rFonts w:ascii="Helvetica Neue" w:hAnsi="Helvetica Neue" w:cs="Helvetica Neue"/>
          <w:color w:val="000000"/>
          <w:sz w:val="22"/>
          <w:szCs w:val="22"/>
        </w:rPr>
        <w:t>МЛА</w:t>
      </w:r>
      <w:r w:rsidRPr="00D57DD3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>–</w:t>
      </w:r>
      <w:r w:rsidRPr="00D57DD3">
        <w:rPr>
          <w:rFonts w:ascii="Helvetica Neue" w:hAnsi="Helvetica Neue" w:cs="Helvetica Neue"/>
          <w:color w:val="000000"/>
          <w:sz w:val="22"/>
          <w:szCs w:val="22"/>
        </w:rPr>
        <w:t xml:space="preserve"> лидер продаж среди местных анестетиков в стоимостном и количественном выражении на территории РФ в период с 01.07.2019 по 30.06.2020 согласно базе данных международного агентства ООО «АЙКЬЮВИА СОЛЮШНС» от 15.08.2020</w:t>
      </w:r>
    </w:p>
    <w:p w14:paraId="2B60D2EB" w14:textId="7788AD5D" w:rsidR="00216329" w:rsidRDefault="00216329" w:rsidP="00D57DD3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D57DD3">
        <w:rPr>
          <w:rFonts w:ascii="Helvetica Neue" w:hAnsi="Helvetica Neue" w:cs="Helvetica Neue"/>
          <w:color w:val="000000"/>
          <w:sz w:val="22"/>
          <w:szCs w:val="22"/>
        </w:rPr>
        <w:t>Учайкин В.Ф., Шамшева О.В. Пути введения вакцин для эффективной и безопасной иммунизации.</w:t>
      </w:r>
    </w:p>
    <w:p w14:paraId="1C6399F4" w14:textId="77777777" w:rsidR="0037192B" w:rsidRPr="0037192B" w:rsidRDefault="0037192B" w:rsidP="0037192B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37192B">
        <w:rPr>
          <w:rFonts w:ascii="Helvetica Neue" w:hAnsi="Helvetica Neue" w:cs="Helvetica Neue"/>
          <w:color w:val="000000"/>
          <w:sz w:val="22"/>
          <w:szCs w:val="22"/>
        </w:rPr>
        <w:t>Решение Комиссии Таможенного союза от 23 сентября 2011 г. № 799 “О принятии технического регламента Таможенного союза «О безопасности парфюмерно-косметической продукции».</w:t>
      </w:r>
    </w:p>
    <w:p w14:paraId="516FB129" w14:textId="77777777" w:rsidR="0037192B" w:rsidRPr="0037192B" w:rsidRDefault="0037192B" w:rsidP="0037192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sectPr w:rsidR="0037192B" w:rsidRPr="00371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C50B7"/>
    <w:multiLevelType w:val="hybridMultilevel"/>
    <w:tmpl w:val="A82E6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C1"/>
    <w:rsid w:val="000C45C1"/>
    <w:rsid w:val="00216329"/>
    <w:rsid w:val="0037192B"/>
    <w:rsid w:val="00591571"/>
    <w:rsid w:val="00D5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8537D3"/>
  <w15:chartTrackingRefBased/>
  <w15:docId w15:val="{5DBB2CB9-8210-D64C-8251-8F11B26B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5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45C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C4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ls.rosminzdra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Трубицына</dc:creator>
  <cp:keywords/>
  <dc:description/>
  <cp:lastModifiedBy>Светлана Трубицына</cp:lastModifiedBy>
  <cp:revision>4</cp:revision>
  <dcterms:created xsi:type="dcterms:W3CDTF">2021-04-15T06:33:00Z</dcterms:created>
  <dcterms:modified xsi:type="dcterms:W3CDTF">2022-07-12T13:29:00Z</dcterms:modified>
</cp:coreProperties>
</file>